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F8" w:rsidRPr="0028402E" w:rsidRDefault="009D64F8" w:rsidP="009D64F8">
      <w:pPr>
        <w:pStyle w:val="ShapkaDocumentu"/>
        <w:ind w:left="11199"/>
        <w:rPr>
          <w:rFonts w:ascii="Times New Roman" w:hAnsi="Times New Roman"/>
          <w:noProof/>
          <w:sz w:val="24"/>
          <w:szCs w:val="24"/>
          <w:lang w:val="ru-RU"/>
        </w:rPr>
      </w:pPr>
      <w:r w:rsidRPr="0028402E">
        <w:rPr>
          <w:rFonts w:ascii="Times New Roman" w:hAnsi="Times New Roman"/>
          <w:noProof/>
          <w:sz w:val="24"/>
          <w:szCs w:val="24"/>
          <w:lang w:val="ru-RU"/>
        </w:rPr>
        <w:t>Додаток 10</w:t>
      </w:r>
      <w:r w:rsidRPr="0028402E">
        <w:rPr>
          <w:rFonts w:ascii="Times New Roman" w:hAnsi="Times New Roman"/>
          <w:noProof/>
          <w:sz w:val="24"/>
          <w:szCs w:val="24"/>
          <w:lang w:val="ru-RU"/>
        </w:rPr>
        <w:br/>
        <w:t>до Положення</w:t>
      </w:r>
    </w:p>
    <w:p w:rsidR="009D64F8" w:rsidRPr="0028402E" w:rsidRDefault="009D64F8" w:rsidP="009D64F8">
      <w:pPr>
        <w:pStyle w:val="a4"/>
        <w:ind w:firstLine="567"/>
        <w:jc w:val="left"/>
        <w:rPr>
          <w:rFonts w:ascii="Times New Roman" w:hAnsi="Times New Roman"/>
          <w:b w:val="0"/>
          <w:noProof/>
          <w:sz w:val="24"/>
          <w:szCs w:val="24"/>
          <w:lang w:val="ru-RU"/>
        </w:rPr>
      </w:pPr>
      <w:r w:rsidRPr="0028402E">
        <w:rPr>
          <w:rFonts w:ascii="Times New Roman" w:hAnsi="Times New Roman"/>
          <w:b w:val="0"/>
          <w:noProof/>
          <w:sz w:val="24"/>
          <w:szCs w:val="24"/>
          <w:lang w:val="ru-RU"/>
        </w:rPr>
        <w:t>Тематичний напрям__________________________________________________________________________________</w:t>
      </w:r>
    </w:p>
    <w:p w:rsidR="009D64F8" w:rsidRPr="0028402E" w:rsidRDefault="009D64F8" w:rsidP="009D64F8">
      <w:pPr>
        <w:pStyle w:val="a4"/>
        <w:rPr>
          <w:rFonts w:ascii="Times New Roman" w:hAnsi="Times New Roman"/>
          <w:b w:val="0"/>
          <w:noProof/>
          <w:sz w:val="24"/>
          <w:szCs w:val="24"/>
          <w:lang w:val="ru-RU"/>
        </w:rPr>
      </w:pPr>
      <w:r w:rsidRPr="0028402E">
        <w:rPr>
          <w:rFonts w:ascii="Times New Roman" w:hAnsi="Times New Roman"/>
          <w:noProof/>
          <w:sz w:val="28"/>
          <w:szCs w:val="28"/>
          <w:lang w:val="ru-RU"/>
        </w:rPr>
        <w:t>ЕКСПЕРТНИЙ ВИСНОВОК</w:t>
      </w:r>
      <w:r w:rsidRPr="0028402E">
        <w:rPr>
          <w:rFonts w:ascii="Times New Roman" w:hAnsi="Times New Roman"/>
          <w:noProof/>
          <w:sz w:val="28"/>
          <w:szCs w:val="28"/>
          <w:lang w:val="ru-RU"/>
        </w:rPr>
        <w:br/>
        <w:t>за результатами наукової і науково-технічної експертизи заявки на участь у конкурсному</w:t>
      </w:r>
      <w:r w:rsidRPr="0028402E">
        <w:rPr>
          <w:rFonts w:ascii="Times New Roman" w:hAnsi="Times New Roman"/>
          <w:noProof/>
          <w:sz w:val="28"/>
          <w:szCs w:val="28"/>
          <w:lang w:val="ru-RU"/>
        </w:rPr>
        <w:br/>
        <w:t xml:space="preserve">відборі науково-технічних проектів, спрямованих на придбання наукового обладнання та матеріалів </w:t>
      </w:r>
      <w:r w:rsidRPr="0028402E">
        <w:rPr>
          <w:rFonts w:ascii="Times New Roman" w:hAnsi="Times New Roman"/>
          <w:noProof/>
          <w:sz w:val="28"/>
          <w:szCs w:val="28"/>
          <w:lang w:val="ru-RU"/>
        </w:rPr>
        <w:br/>
        <w:t>центрами колективного користування науковим обладнанням для проведення наукових досліджень, які фінансуються за рахунок зовнішнього інструменту  допомоги Європейського Союзу для виконання зобов’язань України у Рамковій програмі Європейського Союзу з досліджень та інновацій “Горизонт 2020”,</w:t>
      </w:r>
      <w:r w:rsidRPr="0028402E">
        <w:rPr>
          <w:rFonts w:ascii="Times New Roman" w:hAnsi="Times New Roman"/>
          <w:noProof/>
          <w:sz w:val="28"/>
          <w:szCs w:val="28"/>
          <w:lang w:val="ru-RU"/>
        </w:rPr>
        <w:br/>
      </w:r>
      <w:r w:rsidRPr="0028402E">
        <w:rPr>
          <w:rFonts w:ascii="Times New Roman" w:hAnsi="Times New Roman"/>
          <w:b w:val="0"/>
          <w:noProof/>
          <w:sz w:val="24"/>
          <w:szCs w:val="24"/>
          <w:lang w:val="ru-RU"/>
        </w:rPr>
        <w:t>за темою: __________________________________________________________________________________</w:t>
      </w:r>
    </w:p>
    <w:p w:rsidR="009D64F8" w:rsidRPr="0028402E" w:rsidRDefault="009D64F8" w:rsidP="009D64F8">
      <w:pPr>
        <w:contextualSpacing/>
        <w:rPr>
          <w:noProof/>
          <w:lang w:val="ru-RU"/>
        </w:rPr>
      </w:pPr>
    </w:p>
    <w:tbl>
      <w:tblPr>
        <w:tblW w:w="16302" w:type="dxa"/>
        <w:tblInd w:w="-7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1048"/>
        <w:gridCol w:w="1582"/>
        <w:gridCol w:w="1481"/>
        <w:gridCol w:w="1701"/>
        <w:gridCol w:w="1619"/>
        <w:gridCol w:w="2071"/>
        <w:gridCol w:w="1148"/>
        <w:gridCol w:w="1232"/>
        <w:gridCol w:w="1159"/>
      </w:tblGrid>
      <w:tr w:rsidR="009D64F8" w:rsidRPr="008523E6" w:rsidTr="007307DE">
        <w:trPr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6E63FB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Порядковий номер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Найменування показника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AC7563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Значення показника*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Інтервал значень показника, що відповідає оцінці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Оцінка за показником, балів (відповідно до граф 4</w:t>
            </w:r>
            <w:r w:rsidR="008523E6" w:rsidRPr="0028402E">
              <w:rPr>
                <w:rFonts w:ascii="Times New Roman" w:hAnsi="Times New Roman"/>
                <w:noProof/>
                <w:sz w:val="20"/>
                <w:lang w:val="ru-RU"/>
              </w:rPr>
              <w:t>-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8)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Ваговий коефіцієнт показника, одиниць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Зважена оцінка показників, балів </w:t>
            </w:r>
          </w:p>
          <w:p w:rsidR="009D64F8" w:rsidRPr="0028402E" w:rsidRDefault="009D64F8" w:rsidP="007307DE">
            <w:pPr>
              <w:pStyle w:val="a3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(графа 9 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x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графа 10)</w:t>
            </w:r>
          </w:p>
        </w:tc>
      </w:tr>
      <w:tr w:rsidR="009D64F8" w:rsidRPr="008523E6" w:rsidTr="007307DE">
        <w:trPr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 бал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2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3 бали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4 бали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5 балів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11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I.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 xml:space="preserve">Рівень наявної матеріально-технічної бази, необхідної для виконання наукових досліджень, поточна ефективність її колективного використання (шляхом надання вченим доступу до роботи на обладнанні) та ступінь якісного розширення/доповнення можливостей використання  матеріально-технічної бази для 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досліджень  за рахунок придбання додаткового обладнання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х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 на базі учасника конкурсного відбору та ступінь якісного розширення/доповнення можливостей використання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матеріально-технічної бази для досліджень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за рахунок придбання додаткового обладнання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дає змогу проводити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окремі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пробні аналізи та експериментальні дослідження; розширення можливостей використання матеріально-технічної бази можливе на локальному рівні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8523E6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дає змогу проводити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наукові дослідження за умови проведення модернізації та доукомплектування; розширення можливостей використання матеріально-технічної бази можливе на регіональному рівні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 є унікальним та в поєднанні з наявними матеріалами та зразками дає можливість проводити наукові дослідження, які є конкуренто-спроможними в Україні; розширення можливостей використання матеріально-технічної бази можливе на рівні кількох регіонів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 є унікальним та в поєднанні з наявними матеріалами та зразками дає можливість проводити високоякісні наукові дослідження; розширення можливостей використання матеріально-технічної бази можливе на державному рівні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наявне наукове обладнання є унікальним та в поєднанні з наявними матеріалами та зразками дає можливість проводити високоякісні наукові дослідження, у тому числі міждисциплінарні, проводити пробні аналізи, спеціальні заходи, отримувати консультації, що надаються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 основі проведених експериментів; розширення можливостей використання матеріально-технічної бази можливе на світовому рівні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2.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Надання доступу вченим до роботи на відповідному обладнанні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доступ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до роботи на науковому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обладнанні мають лише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працівники наукової установи,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закладу вищої освіти, у структурі якого утворено центр, або центру в разі, коли центр є окремою юридичною особою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передбачено можливість надання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доступу до наукового обладнання зовнішнім користувачам, але через надмірну завантаженість не забезпечується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доступ є відкритим для зовнішніх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користувачів, з якими центр, заклад вищої освіти, наукова установа, у структурі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якої утворено центр, співпрацює в межах спільних проектів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доступ є відкритим для зовнішніх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користувачів, що підтверджується наявністю укладених договорів про надання відповідних послуг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доступ є відкритим для зовнішніх користувачів, що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підтверджується наявністю укладених договорів про надання відповідних послуг,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а також передбачено можливість забезпечення таких віддалених наукових сервісів, як забезпечення відповідності матеріалів чи зразків, проведення пробного аналізу, спеціальних заходів чи консультацій, що надаються на основі проведених  експериментів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II.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Кадрова спроможність забезпечити проведення відповідних наукових досліджень та надати доступ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вченим до роботи на науковому обладнанні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Фахівців, які є обізнаними та володіють навичками роботи на відповідному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науковому обладнанні, та послуги, які вони надають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 xml:space="preserve">фахівці, що працюють у центрі, 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виконують лише індивідуальні наукові дослідження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фахівці, що працюють у центрі,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надають консультації  іншим користувачам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8523E6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фахівці, що працюють у центрі, надають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консультації іншим користувачам та беруть участь у проведенні ними експериментальних випробувань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фахівці, що працюють у центрі,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можуть запропонувати іншим науковцям скористатися</w:t>
            </w:r>
          </w:p>
          <w:p w:rsidR="009D64F8" w:rsidRPr="0028402E" w:rsidRDefault="009D64F8" w:rsidP="008523E6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потенціалом центру та надати необхідні консультації, провести експериментальні випробування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фахівці, що працюють у центрі,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можуть запропонувати іншим науковцям скористатися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потенціалом центру або опрацювати надані їм дані та</w:t>
            </w:r>
          </w:p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надати готовий результат науковому колективу, що підтверджується в описі досліджень, які проводилися у центрі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III.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Спрямованість на виконання наукових досліджень, які відповідають напрямам Рамкової програми Європейського Союзу  з досліджень та інновацій “Горизонт Європа”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spacing w:line="228" w:lineRule="auto"/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spacing w:line="228" w:lineRule="auto"/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0,1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1.</w:t>
            </w:r>
          </w:p>
        </w:tc>
        <w:tc>
          <w:tcPr>
            <w:tcW w:w="2410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Перелік наукових досліджень, які проведені та планується проводити на відповідному науковому обладнанні, їх відповідність напрямам Рамкової програми Європейського Союзу  з досліджень та інновацій “Горизонт Європа”</w:t>
            </w:r>
          </w:p>
        </w:tc>
        <w:tc>
          <w:tcPr>
            <w:tcW w:w="10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проведені та заплановані дослідження відповідають пріоритетним напрямам розвитку науки і техніки</w:t>
            </w:r>
          </w:p>
        </w:tc>
        <w:tc>
          <w:tcPr>
            <w:tcW w:w="148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проведені наукові дослідження відповідають пріоритетам Рамкової програми Європейського Союзу з наукових досліджень та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інновацій “Горизонт 2020”</w:t>
            </w:r>
          </w:p>
        </w:tc>
        <w:tc>
          <w:tcPr>
            <w:tcW w:w="170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проведені наукові дослідження відповідають пріоритетам Рамкової програми Європейського Союзу з наукових досліджень та інновацій “Горизонт 2020”,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наявне обладнання дає можливість проводити дослідження, що відповідає пріоритетам Рамкової програми Європейського Союзу  з досліджень та інновацій “Горизонт Європа”</w:t>
            </w:r>
          </w:p>
        </w:tc>
        <w:tc>
          <w:tcPr>
            <w:tcW w:w="161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проведені наукові дослідження відповідають пріоритетам Рамкової програми Європейського Союзу з наукових досліджень та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інновацій “Горизонт 2020”, тематика наукових досліджень, що плануються до виконання на обладнанні центру, відповідає пріоритетам Рамкової програми Європейського Союзу  з досліджень та інновацій “Горизонт Європа”</w:t>
            </w:r>
          </w:p>
        </w:tc>
        <w:tc>
          <w:tcPr>
            <w:tcW w:w="207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 xml:space="preserve">проведені наукові дослідження відповідають пріоритетами Рамкової програми Європейського Союзу  з наукових досліджень та інновацій “Горизонт 2020”, тематика наукових досліджень, 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що плануються до виконання на обладнанні центру, відповідає пріоритетам Рамкової програми Європейського Союзу  з досліджень та інновацій “Горизонт Європа”, є конкуренто-спроможною, планується участь у Рамковій програмі Європейського Союзу  з досліджень та інновацій “Горизонт Європа”</w:t>
            </w:r>
          </w:p>
        </w:tc>
        <w:tc>
          <w:tcPr>
            <w:tcW w:w="11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0,1</w:t>
            </w:r>
          </w:p>
        </w:tc>
        <w:tc>
          <w:tcPr>
            <w:tcW w:w="115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IV.</w:t>
            </w:r>
          </w:p>
        </w:tc>
        <w:tc>
          <w:tcPr>
            <w:tcW w:w="2410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Фінансово-економічне обґрунтування  проекту</w:t>
            </w:r>
          </w:p>
        </w:tc>
        <w:tc>
          <w:tcPr>
            <w:tcW w:w="10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spacing w:line="228" w:lineRule="auto"/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spacing w:line="228" w:lineRule="auto"/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1.</w:t>
            </w:r>
          </w:p>
        </w:tc>
        <w:tc>
          <w:tcPr>
            <w:tcW w:w="2410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Якість підготовки, коректність та реалістичність фінансово-економічного обґрунтування, обґрунтованість витрат стосовно очікуваного результату</w:t>
            </w:r>
          </w:p>
        </w:tc>
        <w:tc>
          <w:tcPr>
            <w:tcW w:w="10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викликає сумніви, заплановані витрати не відповідають очікуваному результату</w:t>
            </w:r>
          </w:p>
        </w:tc>
        <w:tc>
          <w:tcPr>
            <w:tcW w:w="148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8523E6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наведено обґрунтування не для всіх витрат, окремі позиції є нереалістичними</w:t>
            </w:r>
          </w:p>
        </w:tc>
        <w:tc>
          <w:tcPr>
            <w:tcW w:w="170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витрати обґрунтовано задовільно</w:t>
            </w:r>
          </w:p>
        </w:tc>
        <w:tc>
          <w:tcPr>
            <w:tcW w:w="161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витрати обґрунтовано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добре, проте виникають сумніви щодо необхідності закупівлі окремих одиниць наукового обладнання</w:t>
            </w:r>
          </w:p>
        </w:tc>
        <w:tc>
          <w:tcPr>
            <w:tcW w:w="207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витрати обґрунтовано добре, загальний бюджет проекту є збалансованим, відповідає очікуваному результату</w:t>
            </w:r>
          </w:p>
        </w:tc>
        <w:tc>
          <w:tcPr>
            <w:tcW w:w="1148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0,2</w:t>
            </w:r>
          </w:p>
        </w:tc>
        <w:tc>
          <w:tcPr>
            <w:tcW w:w="1159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 w:line="228" w:lineRule="auto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V.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Наукові групи потенційних користувачів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0,1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Наукові групи, які потенційно зможуть проводити дослідження на відповідному науковому обладнанні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D4FD4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дослідження проводитимуться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науковими групами на локальному рівні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8523E6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дослідження проводитимуться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науковими групами на регіональному рівні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дослідження проводитимуться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науковими групами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кількох регіонів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D4FD4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дослідження проводитимуться науковими групами на державному рівні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дослідження проводитимуться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 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 xml:space="preserve"> науковими групами, до складу яких входять іноземні вчені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0,1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both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VI.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Сума вагових коефіцієнтів</w:t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</w:tr>
      <w:tr w:rsidR="009D64F8" w:rsidRPr="008523E6" w:rsidTr="007307DE">
        <w:trPr>
          <w:trHeight w:val="20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VII.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 xml:space="preserve">Експертна оцінка </w:t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br/>
            </w:r>
          </w:p>
        </w:tc>
        <w:tc>
          <w:tcPr>
            <w:tcW w:w="10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балів</w:t>
            </w:r>
          </w:p>
        </w:tc>
        <w:tc>
          <w:tcPr>
            <w:tcW w:w="158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4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jc w:val="center"/>
              <w:rPr>
                <w:noProof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6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207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23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х</w:t>
            </w:r>
          </w:p>
        </w:tc>
        <w:tc>
          <w:tcPr>
            <w:tcW w:w="11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spacing w:before="0"/>
              <w:ind w:left="-57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</w:tbl>
    <w:p w:rsidR="009D64F8" w:rsidRPr="008523E6" w:rsidRDefault="009D64F8" w:rsidP="009D64F8">
      <w:pPr>
        <w:pStyle w:val="a3"/>
        <w:jc w:val="both"/>
        <w:rPr>
          <w:rFonts w:ascii="Times New Roman" w:hAnsi="Times New Roman"/>
          <w:noProof/>
          <w:sz w:val="28"/>
          <w:szCs w:val="28"/>
          <w:lang w:val="en-AU"/>
        </w:rPr>
      </w:pPr>
    </w:p>
    <w:tbl>
      <w:tblPr>
        <w:tblW w:w="15207" w:type="dxa"/>
        <w:tblInd w:w="-142" w:type="dxa"/>
        <w:tblBorders>
          <w:top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3210"/>
        <w:gridCol w:w="1323"/>
      </w:tblGrid>
      <w:tr w:rsidR="009D64F8" w:rsidRPr="0028402E" w:rsidTr="006E63FB">
        <w:trPr>
          <w:trHeight w:val="20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VIII.</w:t>
            </w:r>
          </w:p>
        </w:tc>
        <w:tc>
          <w:tcPr>
            <w:tcW w:w="1358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Експерт вважає, що віднесення проекту до тематичного напряму (</w:t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обрати</w:t>
            </w:r>
            <w:r w:rsidRPr="0028402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9D64F8" w:rsidRPr="0028402E" w:rsidTr="006E63FB">
        <w:trPr>
          <w:trHeight w:val="2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58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обґрунтовано добре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так/ні</w:t>
            </w:r>
          </w:p>
        </w:tc>
      </w:tr>
      <w:tr w:rsidR="009D64F8" w:rsidRPr="0028402E" w:rsidTr="006E63FB">
        <w:trPr>
          <w:trHeight w:val="2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58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обґрунтовано задовільно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так/ні</w:t>
            </w:r>
          </w:p>
        </w:tc>
      </w:tr>
      <w:tr w:rsidR="009D64F8" w:rsidRPr="0028402E" w:rsidTr="006E63FB">
        <w:trPr>
          <w:trHeight w:val="2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58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не обґрунтовано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так/ні</w:t>
            </w:r>
          </w:p>
        </w:tc>
      </w:tr>
      <w:tr w:rsidR="009D64F8" w:rsidRPr="0028402E" w:rsidTr="006E63FB">
        <w:trPr>
          <w:trHeight w:val="20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IX.</w:t>
            </w:r>
          </w:p>
        </w:tc>
        <w:tc>
          <w:tcPr>
            <w:tcW w:w="14923" w:type="dxa"/>
            <w:gridSpan w:val="2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Експерт вважає, що колектив здатен реалізувати проект на належному рівні (</w:t>
            </w:r>
            <w:r w:rsidRPr="005430F7">
              <w:rPr>
                <w:rFonts w:ascii="Times New Roman" w:hAnsi="Times New Roman"/>
                <w:noProof/>
                <w:sz w:val="20"/>
                <w:lang w:val="ru-RU"/>
              </w:rPr>
              <w:t>зайве викреслити</w:t>
            </w:r>
            <w:r w:rsidRPr="0028402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):</w:t>
            </w:r>
          </w:p>
        </w:tc>
      </w:tr>
      <w:tr w:rsidR="009D64F8" w:rsidRPr="0028402E" w:rsidTr="006E63FB">
        <w:trPr>
          <w:trHeight w:val="20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923" w:type="dxa"/>
            <w:gridSpan w:val="2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spacing w:before="0" w:line="216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так                                  ні                                         за відповідних умов</w:t>
            </w:r>
          </w:p>
        </w:tc>
      </w:tr>
    </w:tbl>
    <w:p w:rsidR="009D64F8" w:rsidRPr="0028402E" w:rsidRDefault="009D64F8" w:rsidP="009D64F8">
      <w:pPr>
        <w:pStyle w:val="a3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9D64F8" w:rsidRPr="0028402E" w:rsidRDefault="009D64F8" w:rsidP="009D64F8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8523E6">
        <w:rPr>
          <w:rFonts w:ascii="Times New Roman" w:hAnsi="Times New Roman"/>
          <w:noProof/>
          <w:sz w:val="28"/>
          <w:szCs w:val="28"/>
          <w:lang w:val="en-AU"/>
        </w:rPr>
        <w:t> </w:t>
      </w:r>
      <w:r w:rsidRPr="0028402E">
        <w:rPr>
          <w:rFonts w:ascii="Times New Roman" w:hAnsi="Times New Roman"/>
          <w:noProof/>
          <w:sz w:val="24"/>
          <w:szCs w:val="24"/>
          <w:lang w:val="ru-RU"/>
        </w:rPr>
        <w:t>Коментар експерта (коментар експерта обов’язковий; висновок без коментаря є недійсним):</w:t>
      </w:r>
    </w:p>
    <w:p w:rsidR="009D64F8" w:rsidRPr="008523E6" w:rsidRDefault="009D64F8" w:rsidP="009D64F8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8523E6">
        <w:rPr>
          <w:rFonts w:ascii="Times New Roman" w:hAnsi="Times New Roman"/>
          <w:noProof/>
          <w:sz w:val="28"/>
          <w:szCs w:val="28"/>
          <w:lang w:val="en-AU"/>
        </w:rPr>
        <w:lastRenderedPageBreak/>
        <w:t>________________________________________________________________________________________________________</w:t>
      </w:r>
    </w:p>
    <w:p w:rsidR="009D64F8" w:rsidRPr="008523E6" w:rsidRDefault="009D64F8" w:rsidP="009D64F8">
      <w:pPr>
        <w:pStyle w:val="a3"/>
        <w:spacing w:before="60"/>
        <w:ind w:firstLine="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8523E6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________________________________________________________________________________________________________</w:t>
      </w:r>
    </w:p>
    <w:p w:rsidR="009D64F8" w:rsidRPr="008523E6" w:rsidRDefault="009D64F8" w:rsidP="009D64F8">
      <w:pPr>
        <w:pStyle w:val="a3"/>
        <w:spacing w:before="60"/>
        <w:ind w:firstLine="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8523E6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________________________________________________________________________________________________________</w:t>
      </w:r>
    </w:p>
    <w:tbl>
      <w:tblPr>
        <w:tblW w:w="152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3812"/>
        <w:gridCol w:w="6166"/>
        <w:gridCol w:w="3812"/>
      </w:tblGrid>
      <w:tr w:rsidR="009D64F8" w:rsidRPr="008523E6" w:rsidTr="007307DE">
        <w:trPr>
          <w:trHeight w:val="7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Експерт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</w:t>
            </w:r>
            <w:r w:rsidRPr="008523E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28402E" w:rsidRDefault="009D64F8" w:rsidP="007307DE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28402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</w:t>
            </w:r>
            <w:r w:rsidRPr="0028402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br/>
            </w:r>
            <w:r w:rsidRPr="0028402E">
              <w:rPr>
                <w:rFonts w:ascii="Times New Roman" w:hAnsi="Times New Roman"/>
                <w:noProof/>
                <w:sz w:val="20"/>
                <w:lang w:val="ru-RU"/>
              </w:rPr>
              <w:t>(прізвище, ім’я та по батькові)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64F8" w:rsidRPr="008523E6" w:rsidRDefault="009D64F8" w:rsidP="007307DE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8523E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__________________</w:t>
            </w:r>
            <w:r w:rsidRPr="008523E6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</w:r>
            <w:r w:rsidRPr="008523E6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</w:tr>
    </w:tbl>
    <w:p w:rsidR="009D64F8" w:rsidRPr="008523E6" w:rsidRDefault="009D64F8" w:rsidP="009D64F8">
      <w:pPr>
        <w:pStyle w:val="a3"/>
        <w:spacing w:before="0" w:line="216" w:lineRule="auto"/>
        <w:ind w:firstLine="0"/>
        <w:rPr>
          <w:rFonts w:ascii="Times New Roman" w:hAnsi="Times New Roman"/>
          <w:noProof/>
          <w:sz w:val="20"/>
          <w:lang w:val="en-AU"/>
        </w:rPr>
      </w:pPr>
      <w:r w:rsidRPr="008523E6">
        <w:rPr>
          <w:rFonts w:ascii="Times New Roman" w:hAnsi="Times New Roman"/>
          <w:noProof/>
          <w:sz w:val="20"/>
          <w:lang w:val="en-AU"/>
        </w:rPr>
        <w:t>__________</w:t>
      </w:r>
    </w:p>
    <w:p w:rsidR="009D64F8" w:rsidRPr="0028402E" w:rsidRDefault="009D64F8" w:rsidP="009D64F8">
      <w:pPr>
        <w:pStyle w:val="a3"/>
        <w:spacing w:before="0" w:line="216" w:lineRule="auto"/>
        <w:ind w:firstLine="0"/>
        <w:jc w:val="both"/>
        <w:rPr>
          <w:rFonts w:ascii="Times New Roman" w:hAnsi="Times New Roman"/>
          <w:noProof/>
          <w:sz w:val="20"/>
          <w:lang w:val="ru-RU"/>
        </w:rPr>
      </w:pPr>
      <w:r w:rsidRPr="0028402E">
        <w:rPr>
          <w:rFonts w:ascii="Times New Roman" w:hAnsi="Times New Roman"/>
          <w:noProof/>
          <w:sz w:val="20"/>
          <w:lang w:val="ru-RU"/>
        </w:rPr>
        <w:t xml:space="preserve">* Значення вносяться до відповідних граф, використовуючи такі умовні позначення: нуль (0) </w:t>
      </w:r>
      <w:r w:rsidR="008523E6" w:rsidRPr="0028402E">
        <w:rPr>
          <w:rFonts w:ascii="Times New Roman" w:hAnsi="Times New Roman"/>
          <w:noProof/>
          <w:sz w:val="20"/>
          <w:lang w:val="ru-RU"/>
        </w:rPr>
        <w:t>-</w:t>
      </w:r>
      <w:r w:rsidRPr="0028402E">
        <w:rPr>
          <w:rFonts w:ascii="Times New Roman" w:hAnsi="Times New Roman"/>
          <w:noProof/>
          <w:sz w:val="20"/>
          <w:lang w:val="ru-RU"/>
        </w:rPr>
        <w:t xml:space="preserve"> значення відсутнє; символ (х) </w:t>
      </w:r>
      <w:r w:rsidR="008523E6" w:rsidRPr="0028402E">
        <w:rPr>
          <w:rFonts w:ascii="Times New Roman" w:hAnsi="Times New Roman"/>
          <w:noProof/>
          <w:sz w:val="20"/>
          <w:lang w:val="ru-RU"/>
        </w:rPr>
        <w:t>-</w:t>
      </w:r>
      <w:r w:rsidRPr="0028402E">
        <w:rPr>
          <w:rFonts w:ascii="Times New Roman" w:hAnsi="Times New Roman"/>
          <w:noProof/>
          <w:sz w:val="20"/>
          <w:lang w:val="ru-RU"/>
        </w:rPr>
        <w:t xml:space="preserve">  за</w:t>
      </w:r>
      <w:r w:rsidR="00083154">
        <w:rPr>
          <w:rFonts w:ascii="Times New Roman" w:hAnsi="Times New Roman"/>
          <w:noProof/>
          <w:sz w:val="20"/>
          <w:lang w:val="ru-RU"/>
        </w:rPr>
        <w:t>повнення показника недоцільне.</w:t>
      </w:r>
      <w:bookmarkStart w:id="0" w:name="_GoBack"/>
      <w:bookmarkEnd w:id="0"/>
    </w:p>
    <w:p w:rsidR="009D64F8" w:rsidRPr="0028402E" w:rsidRDefault="009D64F8" w:rsidP="009D64F8">
      <w:pPr>
        <w:pStyle w:val="3"/>
        <w:spacing w:before="0" w:line="216" w:lineRule="auto"/>
        <w:ind w:left="0"/>
        <w:jc w:val="center"/>
        <w:rPr>
          <w:rFonts w:ascii="Times New Roman" w:hAnsi="Times New Roman"/>
          <w:b w:val="0"/>
          <w:i w:val="0"/>
          <w:noProof/>
          <w:sz w:val="20"/>
          <w:lang w:val="ru-RU"/>
        </w:rPr>
      </w:pPr>
    </w:p>
    <w:p w:rsidR="007C7A58" w:rsidRPr="0028402E" w:rsidRDefault="007C7A58">
      <w:pPr>
        <w:rPr>
          <w:noProof/>
          <w:lang w:val="ru-RU"/>
        </w:rPr>
      </w:pPr>
    </w:p>
    <w:sectPr w:rsidR="007C7A58" w:rsidRPr="0028402E" w:rsidSect="008523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F8"/>
    <w:rsid w:val="00083154"/>
    <w:rsid w:val="0028402E"/>
    <w:rsid w:val="005430F7"/>
    <w:rsid w:val="006E63FB"/>
    <w:rsid w:val="007C7A58"/>
    <w:rsid w:val="007D4FD4"/>
    <w:rsid w:val="008523E6"/>
    <w:rsid w:val="009D64F8"/>
    <w:rsid w:val="00A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0067"/>
  <w15:chartTrackingRefBased/>
  <w15:docId w15:val="{061EC079-D909-4A99-93C6-0E5219E7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F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D64F8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64F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D64F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link w:val="a5"/>
    <w:rsid w:val="009D64F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D64F8"/>
    <w:pPr>
      <w:keepNext/>
      <w:keepLines/>
      <w:spacing w:after="240"/>
      <w:ind w:left="3969"/>
      <w:jc w:val="center"/>
    </w:pPr>
  </w:style>
  <w:style w:type="character" w:customStyle="1" w:styleId="a5">
    <w:name w:val="Назва документа Знак"/>
    <w:link w:val="a4"/>
    <w:locked/>
    <w:rsid w:val="009D64F8"/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5808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9</cp:revision>
  <dcterms:created xsi:type="dcterms:W3CDTF">2021-04-30T10:08:00Z</dcterms:created>
  <dcterms:modified xsi:type="dcterms:W3CDTF">2021-05-06T09:22:00Z</dcterms:modified>
</cp:coreProperties>
</file>