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911" w:rsidRPr="00845911" w:rsidRDefault="00845911" w:rsidP="008459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591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опитування «АКАДЕМІЧНА ДОБРОЧЕСНІСТЬ: КОМУНІКАЦ</w:t>
      </w:r>
      <w:bookmarkStart w:id="0" w:name="_GoBack"/>
      <w:bookmarkEnd w:id="0"/>
      <w:r w:rsidRPr="0084591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ІЯ ЗІ ЗДОБУВАЧАМИ ВИЩОЇ ОСВІТИ»</w:t>
      </w:r>
    </w:p>
    <w:p w:rsidR="00845911" w:rsidRDefault="00845911" w:rsidP="00845911"/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У грудні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 вищої освіти денної та заочної форми освіти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016 Спеціальна освіта першого (бакалаврського) та другого (магістерського) рівня вищої освіти було запропоновано пройти опитування щодо реалізації принципу академічної доброчесності в освітньому процесі.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Мета: визначення сильних і слабких сторін реалізації принципу академічної доброчесності в освітньому процесі задля організації подальшої роботи в цьому напрямі.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В опитуванні взяли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93 студента (76,1%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–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 першого рівня вищої освіти, 23,9%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–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 другого рівня вищої освіти).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 вищої освіти було запропоновано низку запитань, які стосуються різних аспектів реалізації принципу академічної доброчесності в освітньому процесі. 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проводилося анонімно з використанням матеріалів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Academic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IQ (</w:t>
      </w:r>
      <w:hyperlink r:id="rId5" w:history="1">
        <w:r w:rsidRPr="00A44CAC">
          <w:rPr>
            <w:rStyle w:val="a3"/>
            <w:sz w:val="28"/>
            <w:szCs w:val="28"/>
            <w:lang w:val="uk-UA"/>
          </w:rPr>
          <w:t>https://academiq.org.ua/</w:t>
        </w:r>
      </w:hyperlink>
      <w:r w:rsidRPr="00A44CA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На запитання</w:t>
      </w:r>
      <w:r w:rsidRPr="00A44CAC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«Як часто протягом цього семестру Ви обговорювали з викладачами такі питання?»</w:t>
      </w:r>
      <w:r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:</w:t>
      </w:r>
    </w:p>
    <w:p w:rsidR="00845911" w:rsidRPr="00A44CAC" w:rsidRDefault="00845911" w:rsidP="0084591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письмових робіт: часто – 63%,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20%, дуже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12%, важко відповісти – 2%.</w:t>
      </w:r>
    </w:p>
    <w:p w:rsidR="00845911" w:rsidRPr="00A44CAC" w:rsidRDefault="00845911" w:rsidP="0084591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етика та академічна доброчесність: часто – 58%,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22%, дуже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11%, важко відповісти – 3%.</w:t>
      </w:r>
    </w:p>
    <w:p w:rsidR="00845911" w:rsidRPr="00A44CAC" w:rsidRDefault="00845911" w:rsidP="0084591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плагіат, списування та інші порушення: часто – 59%,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27%, дуже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5%, важко відповісти – 4%.</w:t>
      </w:r>
    </w:p>
    <w:p w:rsidR="00845911" w:rsidRPr="00A44CAC" w:rsidRDefault="00845911" w:rsidP="0084591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правила цитування текстів та використаної літератури: часто – 57%,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30%, дуже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7%, важко відповісти – 3%.</w:t>
      </w:r>
    </w:p>
    <w:p w:rsidR="00845911" w:rsidRPr="00A44CAC" w:rsidRDefault="00845911" w:rsidP="0084591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санкції за плагіат, списування та інші види порушень: часто – 40%,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38%, дуже </w:t>
      </w:r>
      <w:proofErr w:type="spellStart"/>
      <w:r w:rsidRPr="00A44C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– 9%, важко відповісти – 6%.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Наведені дані вказують на проведення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інформаційної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роботи зі здобувачами вищої освіти щодо ключов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их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питан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ь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академічної доброчесності, проте доцільно посилити роботу щодо </w:t>
      </w:r>
      <w:bookmarkStart w:id="1" w:name="_Hlk64360924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ознайомлення студентів із санкціями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при різних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порушень</w:t>
      </w:r>
      <w:bookmarkEnd w:id="1"/>
      <w:r w:rsidRPr="00A44C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На запитання «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Що, зазвичай, роблять викладачі, якщо ….?»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:</w:t>
      </w:r>
    </w:p>
    <w:p w:rsidR="00845911" w:rsidRPr="00A44CAC" w:rsidRDefault="00845911" w:rsidP="0084591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>тудент допомагає іншому під час екзамену/заліку: усне зауваження –  53 %, знижує бали – 26 %, анулюють роботу – 11 %, ігнорують – 2 %, важко сказати – 16 %.</w:t>
      </w:r>
    </w:p>
    <w:p w:rsidR="00845911" w:rsidRPr="00A44CAC" w:rsidRDefault="00845911" w:rsidP="0084591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Студент здав чужу письмову роботу під власним прізвищем: усне зауваження – 12 %, знижує бали – 24 %, анулюють роботу – 44 %, ігнорують – 2 %, важко сказати – 19 %.</w:t>
      </w:r>
    </w:p>
    <w:p w:rsidR="00845911" w:rsidRPr="00A44CAC" w:rsidRDefault="00845911" w:rsidP="0084591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Студент здав чужу курсову роботу під власним прізвищем: усне зауваження – 4 %, знижує бали – 19%, анулюють роботу – 46%, ігнорують – 2%, важко сказати – 27%.</w:t>
      </w:r>
    </w:p>
    <w:p w:rsidR="00845911" w:rsidRPr="00A44CAC" w:rsidRDefault="00845911" w:rsidP="0084591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Студент списує в іншого під час екзамену/заліку: усне зауваження – 30 %, знижує бали – 37%, анулюють роботу – 22%, ігнорують – 6%, важко сказати – 16%.</w:t>
      </w:r>
    </w:p>
    <w:p w:rsidR="00845911" w:rsidRPr="00A44CAC" w:rsidRDefault="00845911" w:rsidP="0084591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Студент списує в іншого під час письмової роботи: усне зауваження – 39 %, знижує бали – 40%, анулюють роботу – 12%, ігнорують – 3%, важко сказати – 14%.</w:t>
      </w:r>
    </w:p>
    <w:p w:rsidR="00845911" w:rsidRPr="00A44CAC" w:rsidRDefault="00845911" w:rsidP="0084591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У курсовій/магістерській роботі виявлено плагіат: усне зауваження – 8 %, знижує бали – 24%, анулюють роботу – 36 %, ігнорують – 4%, важко сказати – 31%.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Представлені результати вказують на </w:t>
      </w:r>
      <w:bookmarkStart w:id="2" w:name="_Hlk64360896"/>
      <w:r w:rsidRPr="00A44CAC">
        <w:rPr>
          <w:rFonts w:ascii="Times New Roman" w:hAnsi="Times New Roman" w:cs="Times New Roman"/>
          <w:sz w:val="28"/>
          <w:szCs w:val="28"/>
          <w:lang w:val="uk-UA"/>
        </w:rPr>
        <w:t>реагування викладачів під час різних видів порушень академічної доброчесності студентами</w:t>
      </w:r>
      <w:bookmarkEnd w:id="2"/>
      <w:r w:rsidRPr="00A44CAC">
        <w:rPr>
          <w:rFonts w:ascii="Times New Roman" w:hAnsi="Times New Roman" w:cs="Times New Roman"/>
          <w:sz w:val="28"/>
          <w:szCs w:val="28"/>
          <w:lang w:val="uk-UA"/>
        </w:rPr>
        <w:t>, проте наявність достатньої представленості відповідей «важко сказати» потребує подальшої роботи щодо ознайомлення студентів викладачами навчальних курсів із можливими санкціями за різні порушення академічної доброчесності, реальне їх впровадження в дію.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На запитання «Чи доводилося Вам слухати курс (окремі теми) з академічного письма/академічної доброчесності?» переважна більшість здобувачів вищої освіти (52,7%) відповіла, що «так», 20,4% зазначили, що «ні», 26,9% вказали, що не пам’ятає. Отримані результати вказують на </w:t>
      </w:r>
      <w:bookmarkStart w:id="3" w:name="_Hlk64360968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доцільність посилення фокусу уваги студентів на питаннях академічного письма та академічної доброчесності на окремих навчальних дисципліна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х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(зокрема Основи науково-дослідницької та </w:t>
      </w:r>
      <w:proofErr w:type="spellStart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грантово-проєктної</w:t>
      </w:r>
      <w:proofErr w:type="spellEnd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діяльності», «Вступ до спеціальності»), а також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можливість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залучення студентів до опанування курсом «Академічна доброчесність» у межах неформальної освіти (https://courses.ed-era.com/courses/course-v1:AmericanCouncils+AcIn101+AcIn2019/about).</w:t>
      </w:r>
      <w:bookmarkEnd w:id="3"/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На запитання «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Чи маєте Ви доступ до </w:t>
      </w:r>
      <w:proofErr w:type="spellStart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силабусів</w:t>
      </w:r>
      <w:proofErr w:type="spellEnd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(робочих програм)?» половина респондентів (50,5%) зазначили, що «так, можу завантажити», 9,7% вказали, що «так, викладач надсилає на електрону пошту», 11,8% вказали, що викладач надає за проханням. Наведені дані вказують на необхідність розміщення </w:t>
      </w:r>
      <w:proofErr w:type="spellStart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силабусів</w:t>
      </w:r>
      <w:proofErr w:type="spellEnd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(робочих програм) з усіх навчальних дисциплін на сайті.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запитання «</w:t>
      </w:r>
      <w:r w:rsidRPr="00A44CAC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Як Ви обираєте вибіркові навчальні дисципліни?» переважна більшість опитаних (76,3%) відповіли «групою», 12,9% 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44CAC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зазначили «за нас обирає деканат», 6,5% зазначили, що самостійно.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На запитання «Чи берете Ви участь в опитуванні щодо рівня задоволеності пройденою навчальною дисципліною?» 66,7% здобувачів відповіли ствердно, 23,7% опитаних зазначили, що інколи, 7,5% вказали, що ніколи не брали участь, 2,2% обрали варіант «не пам’ятаю». Отримані результати засвідчують </w:t>
      </w:r>
      <w:bookmarkStart w:id="4" w:name="_Hlk64360860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залученість студентів до оцінювання якості викладання навчальних дисциплін</w:t>
      </w:r>
      <w:bookmarkEnd w:id="4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на спеціальності 016 Спеціальна освіта.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 вищої освіти було запропоновано оцінити зрозумілість критерії оцінювання письмових робіт на дисциплінах від 1 до 5 (1 – взагалі незрозумілі, 5 – абсолютно зрозумілі). Відповіді розподілилися наступним чином: «5» – 36,6 % опитаних, «4» – 43 % «3» – 15,1% «2» – 2,2 %, «1» – 3,2 %.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Наведені дані вказують на </w:t>
      </w:r>
      <w:bookmarkStart w:id="5" w:name="_Hlk64360843"/>
      <w:r w:rsidRPr="00A44CAC">
        <w:rPr>
          <w:rFonts w:ascii="Times New Roman" w:hAnsi="Times New Roman" w:cs="Times New Roman"/>
          <w:sz w:val="28"/>
          <w:szCs w:val="28"/>
          <w:lang w:val="uk-UA"/>
        </w:rPr>
        <w:t>зрозумілість критеріїв оцінювання письмових робіт для здобувачів вищої освіти</w:t>
      </w:r>
      <w:bookmarkEnd w:id="5"/>
      <w:r w:rsidRPr="00A44C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На запитання «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Наскільки поширеною є можливість отримати додаткові бали за виконання додаткових завдань в межах курсу?» переважна більш здобувачів вищої освіти (54,8%) відповіли, що така практика є поширеною, 28% опитаних зазначили, що дуже поширена, 11,8% студентів вказали, що їм важко відповісти на це запитання, відповіді «відсутня» та «скоріше відсутня» обрали лише 5,4% здобувачів. Отримані результати вказують на наявність завдань для отримання додаткових балів, що створює можливості для студентів до самовдосконалення.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На запитання «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Якби Вам зараз довелося повторно обирати спеціальність, яким був би Ваш вибір?» більшість здобувачів вищої освіти (58,1%) нічого б не змінювало, 10,8% – вибрали б навчання на цій самій спеціальності, але в іншому університеті, 8,6% – змінили б спеціальність, але залишилися б в БДПУ, 9,7% – обрали б іншу спеціальність в іншому університеті, 12,9% опитаних зазначили, що їм складно відповісти на це запитання. Отримані результати свідчать про </w:t>
      </w:r>
      <w:bookmarkStart w:id="6" w:name="_Hlk64361011"/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високий рівень задоволен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ості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студентів навчання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м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на обраній спеціальності в БДПУ.</w:t>
      </w:r>
      <w:bookmarkEnd w:id="6"/>
    </w:p>
    <w:p w:rsidR="00845911" w:rsidRPr="00A44CAC" w:rsidRDefault="00845911" w:rsidP="00845911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На запитання «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Чи доводилося Вам звертатися до викладачів з проханням надати відгук на Вашу роботу?» більшість здобувачів (58,1%) відповіла «так, отримали вичерпну відповідь», 38,7% опитаних вказали «ні», 3,2%  студентів зазначили «так, але відгуку не отримали». Це свідчить про готовність викладачів за потреби надавати студентами підтримку в опануванні змістом навчальних курсів.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На запитання «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Оцініть наскільки, на вашу думку, дієвим є механізм подачі скарги щодо незадоволеності освітнім процесом у вашому університеті»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lastRenderedPageBreak/>
        <w:t xml:space="preserve">більшість студентів зазначили, що цей механізм є недостатньо дієвим (33,3%), достатньо дієвим – 29%, 16,1% – дієвим, майже не дієвим – 9,7%, зовсім не дієвим – 11,8%. 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Наведені дані вказують на необхідність більш детального ознайомлення здобувачів вищої освіти з механізмами подачі скарг щодо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незадоволеності освітнім процесом та з’ясуванні труднощів, з якими найчастіше стикаються студенти під час подання таких скарг.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На запитання «Як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оцінюєте власне навчальне навантаження впродовж цього семестру?» більшість опитаних відповіли як оптимальне – 45,2%, скоріше надмірне – 32,3% 19,4% – украй надмірне, 2,2% – скоріше мізерне, 1,1% – мізерне. Отримані результати свідчать про доцільність перегляду завдань для студентів задля оптимізації навчального навантаження (зокрема в умовах навчання з використанням дистанційних технологій), оскільки надмірне навантаження може провокувати здобувачів вищої освіти до порушення академічної доброчесності та неякісному виконанню запропонованих завдань.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44CAC">
        <w:rPr>
          <w:rFonts w:ascii="Times New Roman" w:hAnsi="Times New Roman" w:cs="Times New Roman"/>
          <w:sz w:val="28"/>
          <w:szCs w:val="28"/>
          <w:lang w:val="uk-UA"/>
        </w:rPr>
        <w:t>На запитання «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Які заходи з популяризації академічної доброчесності доцільно проводити викладачам зі студентами?» здобувачі часто зазначали, що це питання розглядається достатньою мірою, проте також пропонували своє бачення подальшої роботи з популяризації академічної доброчесності, зокрема проведення лекцій, бесід, ігор і вікторин, </w:t>
      </w:r>
      <w:r w:rsidRPr="00A44CAC">
        <w:rPr>
          <w:rFonts w:ascii="Times New Roman" w:hAnsi="Times New Roman" w:cs="Times New Roman"/>
          <w:spacing w:val="3"/>
          <w:sz w:val="28"/>
          <w:szCs w:val="28"/>
          <w:shd w:val="clear" w:color="auto" w:fill="F8F9FA"/>
          <w:lang w:val="uk-UA"/>
        </w:rPr>
        <w:t xml:space="preserve">конкурсу серед студентів зі створення банера на тему «Академічна доброчесність очима студента», організація виступів студентів із творчим підходом (малюнки, схеми), розповсюдження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інформаційних плакатів.</w:t>
      </w:r>
    </w:p>
    <w:p w:rsidR="00845911" w:rsidRPr="00A44CAC" w:rsidRDefault="00845911" w:rsidP="00845911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Аналіз та узагальнення наведених результатів опитування 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>здобувачі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другого рівн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44CAC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016 Спеціальна освіта дозволяє окреслити сильні та слабкі сторони реалізації принципу академічної доброчесності в освітньому процесі.</w:t>
      </w:r>
    </w:p>
    <w:p w:rsidR="00845911" w:rsidRPr="003757C0" w:rsidRDefault="00845911" w:rsidP="00845911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bookmarkStart w:id="7" w:name="_Hlk64360808"/>
      <w:r w:rsidRPr="003757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Сильні сторони:</w:t>
      </w:r>
    </w:p>
    <w:p w:rsidR="00845911" w:rsidRPr="00C04541" w:rsidRDefault="00845911" w:rsidP="008459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високий рівень задоволеності студентів навчанням на обраній спеціальності в БДПУ;</w:t>
      </w:r>
    </w:p>
    <w:p w:rsidR="00845911" w:rsidRPr="00C04541" w:rsidRDefault="00845911" w:rsidP="008459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висока залученість студентів до оцінювання якості викладання навчальних дисциплін;</w:t>
      </w:r>
    </w:p>
    <w:p w:rsidR="00845911" w:rsidRPr="00C04541" w:rsidRDefault="00845911" w:rsidP="008459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наявність можливостей для отримання додаткових балів, що створює можливості для студентів до самовдосконалення;</w:t>
      </w:r>
    </w:p>
    <w:p w:rsidR="00845911" w:rsidRPr="00C04541" w:rsidRDefault="00845911" w:rsidP="008459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готовність викладачів за потреби надавати студентами підтримку в опануванні змістом навчальних курсів;</w:t>
      </w:r>
    </w:p>
    <w:p w:rsidR="00845911" w:rsidRPr="00C04541" w:rsidRDefault="00845911" w:rsidP="008459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04541">
        <w:rPr>
          <w:rFonts w:ascii="Times New Roman" w:hAnsi="Times New Roman" w:cs="Times New Roman"/>
          <w:sz w:val="28"/>
          <w:szCs w:val="28"/>
          <w:lang w:val="uk-UA"/>
        </w:rPr>
        <w:t>зрозумілість критеріїв оцінювання письмових робіт для здобувачів вищої освіти;</w:t>
      </w:r>
    </w:p>
    <w:p w:rsidR="00845911" w:rsidRPr="00C04541" w:rsidRDefault="00845911" w:rsidP="008459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045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реагування викладачів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C04541">
        <w:rPr>
          <w:rFonts w:ascii="Times New Roman" w:hAnsi="Times New Roman" w:cs="Times New Roman"/>
          <w:sz w:val="28"/>
          <w:szCs w:val="28"/>
          <w:lang w:val="uk-UA"/>
        </w:rPr>
        <w:t xml:space="preserve"> різн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4541">
        <w:rPr>
          <w:rFonts w:ascii="Times New Roman" w:hAnsi="Times New Roman" w:cs="Times New Roman"/>
          <w:sz w:val="28"/>
          <w:szCs w:val="28"/>
          <w:lang w:val="uk-UA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4541">
        <w:rPr>
          <w:rFonts w:ascii="Times New Roman" w:hAnsi="Times New Roman" w:cs="Times New Roman"/>
          <w:sz w:val="28"/>
          <w:szCs w:val="28"/>
          <w:lang w:val="uk-UA"/>
        </w:rPr>
        <w:t xml:space="preserve"> порушень академічної доброчесності студентами.</w:t>
      </w:r>
    </w:p>
    <w:bookmarkEnd w:id="7"/>
    <w:p w:rsidR="00845911" w:rsidRPr="00A44CAC" w:rsidRDefault="00845911" w:rsidP="00845911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Перспективою подальшої роботи з популяризації академічної доброчесності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та формування академічної культури </w:t>
      </w:r>
      <w:r w:rsidRPr="00A44C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може стати:</w:t>
      </w:r>
    </w:p>
    <w:p w:rsidR="00845911" w:rsidRPr="00C04541" w:rsidRDefault="00845911" w:rsidP="0084591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ознайомлення студентів із санкціями при різних видах порушень академічної доброчесності (</w:t>
      </w:r>
      <w:r w:rsidRPr="00C04541">
        <w:rPr>
          <w:rFonts w:ascii="Times New Roman" w:hAnsi="Times New Roman" w:cs="Times New Roman"/>
          <w:sz w:val="28"/>
          <w:szCs w:val="28"/>
          <w:lang w:val="uk-UA"/>
        </w:rPr>
        <w:t xml:space="preserve">плагіат, списування тощо), надання інформації про ці санкції у </w:t>
      </w:r>
      <w:proofErr w:type="spellStart"/>
      <w:r w:rsidRPr="00C04541">
        <w:rPr>
          <w:rFonts w:ascii="Times New Roman" w:hAnsi="Times New Roman" w:cs="Times New Roman"/>
          <w:sz w:val="28"/>
          <w:szCs w:val="28"/>
          <w:lang w:val="uk-UA"/>
        </w:rPr>
        <w:t>силабусі</w:t>
      </w:r>
      <w:proofErr w:type="spellEnd"/>
      <w:r w:rsidRPr="00C04541">
        <w:rPr>
          <w:rFonts w:ascii="Times New Roman" w:hAnsi="Times New Roman" w:cs="Times New Roman"/>
          <w:sz w:val="28"/>
          <w:szCs w:val="28"/>
          <w:lang w:val="uk-UA"/>
        </w:rPr>
        <w:t xml:space="preserve"> (викладачі на початку вивчення навчальної дисципліни);</w:t>
      </w:r>
    </w:p>
    <w:p w:rsidR="00845911" w:rsidRDefault="00845911" w:rsidP="0084591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ознайомлення студентів із механізмами подачі скарг що незадоволеності ними освітнім процесом (куратори на початку семестру);</w:t>
      </w:r>
    </w:p>
    <w:p w:rsidR="00845911" w:rsidRPr="00C04541" w:rsidRDefault="00845911" w:rsidP="0084591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перегляд завдань для опрацювання здобувачами вищої освіти задля збалансування навчального навантаження;</w:t>
      </w:r>
    </w:p>
    <w:p w:rsidR="00845911" w:rsidRPr="00C04541" w:rsidRDefault="00845911" w:rsidP="0084591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задля подальшої інформаційної кампанії щодо популяризації принципу академічної доброчесності провести вікторину «Академічна доброчесність: Що? Де? Коли? Як?» (лютий-березень) та творчий конкурс «Академічна доброчесність очима студентів» (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травень</w:t>
      </w:r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); </w:t>
      </w:r>
    </w:p>
    <w:p w:rsidR="00845911" w:rsidRPr="00C04541" w:rsidRDefault="00845911" w:rsidP="0084591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lang w:val="uk-UA"/>
        </w:rPr>
      </w:pPr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посилення фокусу уваги студентів на питаннях академічного письма та академічної доброчесності на окремих навчальних дисциплінах (зокрема Основи науково-дослідницької та </w:t>
      </w:r>
      <w:proofErr w:type="spellStart"/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грантово-проєктної</w:t>
      </w:r>
      <w:proofErr w:type="spellEnd"/>
      <w:r w:rsidRPr="00C045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діяльності», «Вступ до спеціальності»), а також можливість залучення студентів до опанування курсом «Академічна доброчесність» у межах неформальної освіти (https://courses.ed-era.com/courses/course-v1:AmericanCouncils+AcIn101+AcIn2019/about).</w:t>
      </w:r>
    </w:p>
    <w:p w:rsidR="00845911" w:rsidRPr="00845911" w:rsidRDefault="00845911" w:rsidP="00845911">
      <w:pPr>
        <w:rPr>
          <w:lang w:val="uk-UA"/>
        </w:rPr>
      </w:pPr>
    </w:p>
    <w:p w:rsidR="00845911" w:rsidRDefault="00845911" w:rsidP="00845911"/>
    <w:p w:rsidR="00845911" w:rsidRPr="00845911" w:rsidRDefault="00845911" w:rsidP="00845911">
      <w:pPr>
        <w:rPr>
          <w:lang w:val="uk-UA"/>
        </w:rPr>
      </w:pPr>
      <w:proofErr w:type="spellStart"/>
      <w:r w:rsidRPr="00845911">
        <w:t>Академічна</w:t>
      </w:r>
      <w:proofErr w:type="spellEnd"/>
      <w:r w:rsidRPr="00845911">
        <w:t xml:space="preserve"> </w:t>
      </w:r>
      <w:proofErr w:type="spellStart"/>
      <w:r w:rsidRPr="00845911">
        <w:t>доброчесність</w:t>
      </w:r>
      <w:proofErr w:type="spellEnd"/>
      <w:r>
        <w:rPr>
          <w:lang w:val="uk-UA"/>
        </w:rPr>
        <w:t xml:space="preserve"> </w:t>
      </w:r>
      <w:r w:rsidRPr="00845911">
        <w:t xml:space="preserve">– </w:t>
      </w:r>
      <w:proofErr w:type="spellStart"/>
      <w:r w:rsidRPr="00845911">
        <w:t>це</w:t>
      </w:r>
      <w:proofErr w:type="spellEnd"/>
      <w:r w:rsidRPr="00845911">
        <w:t xml:space="preserve"> </w:t>
      </w:r>
      <w:proofErr w:type="spellStart"/>
      <w:r w:rsidRPr="00845911">
        <w:t>запорука</w:t>
      </w:r>
      <w:proofErr w:type="spellEnd"/>
      <w:r w:rsidRPr="00845911">
        <w:t xml:space="preserve"> </w:t>
      </w:r>
      <w:proofErr w:type="spellStart"/>
      <w:r w:rsidRPr="00845911">
        <w:t>якісної</w:t>
      </w:r>
      <w:proofErr w:type="spellEnd"/>
      <w:r w:rsidRPr="00845911">
        <w:t xml:space="preserve"> </w:t>
      </w:r>
      <w:proofErr w:type="spellStart"/>
      <w:r w:rsidRPr="00845911">
        <w:t>освіти</w:t>
      </w:r>
      <w:proofErr w:type="spellEnd"/>
      <w:r w:rsidRPr="00845911">
        <w:t xml:space="preserve"> та </w:t>
      </w:r>
      <w:proofErr w:type="spellStart"/>
      <w:r w:rsidRPr="00845911">
        <w:t>сталого</w:t>
      </w:r>
      <w:proofErr w:type="spellEnd"/>
      <w:r w:rsidRPr="00845911">
        <w:t xml:space="preserve"> </w:t>
      </w:r>
      <w:proofErr w:type="spellStart"/>
      <w:r w:rsidRPr="00845911">
        <w:t>розвитку</w:t>
      </w:r>
      <w:proofErr w:type="spellEnd"/>
      <w:r>
        <w:rPr>
          <w:lang w:val="uk-UA"/>
        </w:rPr>
        <w:t>.</w:t>
      </w:r>
    </w:p>
    <w:p w:rsidR="00556BFE" w:rsidRPr="00845911" w:rsidRDefault="00556BFE" w:rsidP="00845911"/>
    <w:sectPr w:rsidR="00556BFE" w:rsidRPr="0084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2DAD"/>
    <w:multiLevelType w:val="hybridMultilevel"/>
    <w:tmpl w:val="9CBC5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77A8"/>
    <w:multiLevelType w:val="hybridMultilevel"/>
    <w:tmpl w:val="7986AA94"/>
    <w:lvl w:ilvl="0" w:tplc="2CDEB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D7C75"/>
    <w:multiLevelType w:val="hybridMultilevel"/>
    <w:tmpl w:val="1BC24B06"/>
    <w:lvl w:ilvl="0" w:tplc="2CDEB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C2231"/>
    <w:multiLevelType w:val="hybridMultilevel"/>
    <w:tmpl w:val="9CBC5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11"/>
    <w:rsid w:val="00556BFE"/>
    <w:rsid w:val="0084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18DC"/>
  <w15:chartTrackingRefBased/>
  <w15:docId w15:val="{8FF63D08-DBC5-4B51-BA49-784285AE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45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5911"/>
    <w:pPr>
      <w:ind w:left="720"/>
      <w:contextualSpacing/>
    </w:pPr>
  </w:style>
  <w:style w:type="character" w:customStyle="1" w:styleId="freebirdanalyticsviewquestiontitle">
    <w:name w:val="freebirdanalyticsviewquestiontitle"/>
    <w:basedOn w:val="a0"/>
    <w:rsid w:val="0084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iq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2021-05-11T07:22:00Z</dcterms:created>
  <dcterms:modified xsi:type="dcterms:W3CDTF">2021-05-11T07:30:00Z</dcterms:modified>
</cp:coreProperties>
</file>